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0300" w14:textId="4DCAE438" w:rsidR="006F5516" w:rsidRDefault="00000000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</w:t>
      </w:r>
      <w:r w:rsidR="00234FF5">
        <w:rPr>
          <w:rFonts w:ascii="方正小标宋简体" w:eastAsia="方正小标宋简体" w:hAnsi="黑体" w:cs="方正小标宋简体"/>
          <w:sz w:val="36"/>
          <w:szCs w:val="36"/>
        </w:rPr>
        <w:t>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523610C2" w14:textId="5C49D32F" w:rsidR="006F5516" w:rsidRDefault="00000000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</w:t>
      </w:r>
      <w:r w:rsidR="005A247D">
        <w:rPr>
          <w:rFonts w:ascii="方正小标宋简体" w:eastAsia="方正小标宋简体" w:hAnsi="黑体" w:cs="方正小标宋简体" w:hint="eastAsia"/>
          <w:sz w:val="36"/>
          <w:szCs w:val="36"/>
        </w:rPr>
        <w:t>电路分析基础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》课程考试大纲</w:t>
      </w:r>
    </w:p>
    <w:p w14:paraId="7F2DC2C2" w14:textId="77777777" w:rsidR="006F5516" w:rsidRDefault="00000000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334F2A7D" w14:textId="3AB24D60" w:rsidR="005A247D" w:rsidRP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5A247D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本考试是为电子信息工程专业招收 “专升本”学生而实施的选拔性考试。其基本指导思想是既要有利于国家对高层次人才的选拔，又要有利于促进高等学校专业课程教学质量的提高，考试对象为202</w:t>
      </w:r>
      <w:r>
        <w:rPr>
          <w:rFonts w:ascii="仿宋_GB2312" w:eastAsia="仿宋_GB2312" w:hAnsi="宋体"/>
          <w:color w:val="000000"/>
          <w:kern w:val="0"/>
          <w:sz w:val="24"/>
          <w:szCs w:val="24"/>
        </w:rPr>
        <w:t>4</w:t>
      </w:r>
      <w:r w:rsidRPr="005A247D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年参加“专升本”考试的考生。</w:t>
      </w:r>
    </w:p>
    <w:p w14:paraId="69EEFDFB" w14:textId="63CD0EFF" w:rsidR="005A247D" w:rsidRP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5A247D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《电路分析基础》是电子信息工程专业一门十分重要的必修专业基础课。设置和学习本课程的目的是使学生掌握电路的基本理论、分析计算电路的基本方法和进行实验的初步技能，为学习后续课程学习和将来从事专业技术工作奠定较扎实的基础。</w:t>
      </w:r>
    </w:p>
    <w:p w14:paraId="15DBC812" w14:textId="335F4BE2" w:rsidR="006F5516" w:rsidRDefault="00000000" w:rsidP="005A247D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335715EA" w14:textId="77777777" w:rsidR="005A247D" w:rsidRPr="00942BE5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942BE5">
        <w:rPr>
          <w:rFonts w:ascii="仿宋_GB2312" w:eastAsia="仿宋_GB2312" w:hAnsi="宋体"/>
          <w:color w:val="000000"/>
          <w:kern w:val="0"/>
          <w:sz w:val="24"/>
          <w:szCs w:val="24"/>
        </w:rPr>
        <w:t>1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．考试方式：闭卷笔试</w:t>
      </w:r>
    </w:p>
    <w:p w14:paraId="2EF092AB" w14:textId="0B67A25E" w:rsidR="005A247D" w:rsidRPr="00AA2AFE" w:rsidRDefault="005A247D" w:rsidP="00AA2AFE">
      <w:pPr>
        <w:spacing w:line="560" w:lineRule="atLeast"/>
        <w:ind w:firstLineChars="200" w:firstLine="480"/>
        <w:rPr>
          <w:rFonts w:ascii="仿宋" w:eastAsia="仿宋" w:hAnsi="仿宋" w:cs="仿宋"/>
          <w:sz w:val="24"/>
        </w:rPr>
      </w:pPr>
      <w:r w:rsidRPr="00942BE5">
        <w:rPr>
          <w:rFonts w:ascii="仿宋_GB2312" w:eastAsia="仿宋_GB2312" w:hAnsi="宋体"/>
          <w:color w:val="000000"/>
          <w:kern w:val="0"/>
          <w:sz w:val="24"/>
          <w:szCs w:val="24"/>
        </w:rPr>
        <w:t>2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．考试时间：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100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分钟</w:t>
      </w:r>
      <w:r w:rsidR="00AA2AFE" w:rsidRPr="00702257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5E3769BC" w14:textId="77777777" w:rsidR="005A247D" w:rsidRPr="00942BE5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942BE5">
        <w:rPr>
          <w:rFonts w:ascii="仿宋_GB2312" w:eastAsia="仿宋_GB2312" w:hAnsi="宋体"/>
          <w:color w:val="000000"/>
          <w:kern w:val="0"/>
          <w:sz w:val="24"/>
          <w:szCs w:val="24"/>
        </w:rPr>
        <w:t>3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．题型比例：</w:t>
      </w:r>
    </w:p>
    <w:p w14:paraId="0EE0334E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总分值为100分。</w:t>
      </w:r>
    </w:p>
    <w:p w14:paraId="4A1D014A" w14:textId="39F2AC7C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考试题型主要为：单项选择题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（约2</w:t>
      </w:r>
      <w:r>
        <w:rPr>
          <w:rFonts w:ascii="仿宋_GB2312" w:eastAsia="仿宋_GB2312" w:hAnsi="宋体"/>
          <w:color w:val="000000"/>
          <w:kern w:val="0"/>
          <w:sz w:val="24"/>
          <w:szCs w:val="24"/>
        </w:rPr>
        <w:t>5%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、填空题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（约2</w:t>
      </w:r>
      <w:r>
        <w:rPr>
          <w:rFonts w:ascii="仿宋_GB2312" w:eastAsia="仿宋_GB2312" w:hAnsi="宋体"/>
          <w:color w:val="000000"/>
          <w:kern w:val="0"/>
          <w:sz w:val="24"/>
          <w:szCs w:val="24"/>
        </w:rPr>
        <w:t>0%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、判断题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（约1</w:t>
      </w:r>
      <w:r>
        <w:rPr>
          <w:rFonts w:ascii="仿宋_GB2312" w:eastAsia="仿宋_GB2312" w:hAnsi="宋体"/>
          <w:color w:val="000000"/>
          <w:kern w:val="0"/>
          <w:sz w:val="24"/>
          <w:szCs w:val="24"/>
        </w:rPr>
        <w:t>0%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、综合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计算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题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（约4</w:t>
      </w:r>
      <w:r>
        <w:rPr>
          <w:rFonts w:ascii="仿宋_GB2312" w:eastAsia="仿宋_GB2312" w:hAnsi="宋体"/>
          <w:color w:val="000000"/>
          <w:kern w:val="0"/>
          <w:sz w:val="24"/>
          <w:szCs w:val="24"/>
        </w:rPr>
        <w:t>5%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55C75870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试卷难易比例：易、中、难分别为40%、40%和 20%。</w:t>
      </w:r>
    </w:p>
    <w:p w14:paraId="5B989162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考试</w:t>
      </w:r>
      <w:r w:rsidRPr="00AF79B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试卷内容将覆盖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8</w:t>
      </w:r>
      <w:r w:rsidRPr="00AF79B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章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内容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0A0D7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大致比例如下：</w:t>
      </w:r>
    </w:p>
    <w:p w14:paraId="00613F2F" w14:textId="3293E9E3" w:rsidR="005A247D" w:rsidRPr="005A247D" w:rsidRDefault="005A247D" w:rsidP="005A247D">
      <w:pPr>
        <w:widowControl/>
        <w:shd w:val="clear" w:color="auto" w:fill="FFFFFF"/>
        <w:adjustRightInd w:val="0"/>
        <w:snapToGrid w:val="0"/>
        <w:ind w:firstLineChars="350" w:firstLine="735"/>
        <w:jc w:val="left"/>
        <w:rPr>
          <w:rFonts w:ascii="仿宋_GB2312" w:eastAsia="仿宋_GB2312" w:hAnsi="宋体"/>
          <w:color w:val="000000"/>
          <w:kern w:val="0"/>
          <w:szCs w:val="21"/>
        </w:rPr>
      </w:pPr>
    </w:p>
    <w:tbl>
      <w:tblPr>
        <w:tblStyle w:val="a8"/>
        <w:tblW w:w="9559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850"/>
        <w:gridCol w:w="1134"/>
        <w:gridCol w:w="851"/>
        <w:gridCol w:w="1134"/>
        <w:gridCol w:w="1087"/>
      </w:tblGrid>
      <w:tr w:rsidR="005A247D" w:rsidRPr="005A247D" w14:paraId="23FEB4D5" w14:textId="77777777" w:rsidTr="0037489D">
        <w:trPr>
          <w:trHeight w:val="533"/>
        </w:trPr>
        <w:tc>
          <w:tcPr>
            <w:tcW w:w="1101" w:type="dxa"/>
          </w:tcPr>
          <w:p w14:paraId="4C44F912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ind w:firstLineChars="350" w:firstLine="735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</w:p>
          <w:p w14:paraId="070E4E7F" w14:textId="0F445A32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ind w:firstLineChars="100" w:firstLine="21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</w:tcPr>
          <w:p w14:paraId="4AE61535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电路的基本概念和定律</w:t>
            </w:r>
          </w:p>
        </w:tc>
        <w:tc>
          <w:tcPr>
            <w:tcW w:w="1134" w:type="dxa"/>
          </w:tcPr>
          <w:p w14:paraId="77C87F7F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电路分析的等效变换法</w:t>
            </w:r>
          </w:p>
        </w:tc>
        <w:tc>
          <w:tcPr>
            <w:tcW w:w="1134" w:type="dxa"/>
          </w:tcPr>
          <w:p w14:paraId="61D024E5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电路分析的网络方程法</w:t>
            </w:r>
          </w:p>
        </w:tc>
        <w:tc>
          <w:tcPr>
            <w:tcW w:w="850" w:type="dxa"/>
          </w:tcPr>
          <w:p w14:paraId="0924457A" w14:textId="1513E460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正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弦交流电路</w:t>
            </w:r>
          </w:p>
        </w:tc>
        <w:tc>
          <w:tcPr>
            <w:tcW w:w="1134" w:type="dxa"/>
          </w:tcPr>
          <w:p w14:paraId="4F8A1C75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谐振与互感电路</w:t>
            </w:r>
          </w:p>
        </w:tc>
        <w:tc>
          <w:tcPr>
            <w:tcW w:w="851" w:type="dxa"/>
          </w:tcPr>
          <w:p w14:paraId="007284C2" w14:textId="4A2EDC69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三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相电路</w:t>
            </w:r>
          </w:p>
        </w:tc>
        <w:tc>
          <w:tcPr>
            <w:tcW w:w="1134" w:type="dxa"/>
          </w:tcPr>
          <w:p w14:paraId="445BA832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非正弦周期电流电路</w:t>
            </w:r>
          </w:p>
        </w:tc>
        <w:tc>
          <w:tcPr>
            <w:tcW w:w="1087" w:type="dxa"/>
          </w:tcPr>
          <w:p w14:paraId="0B5055F8" w14:textId="77777777" w:rsidR="005A247D" w:rsidRPr="005A247D" w:rsidRDefault="005A247D" w:rsidP="005A247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动态电路的时域分析</w:t>
            </w:r>
          </w:p>
        </w:tc>
      </w:tr>
      <w:tr w:rsidR="005A247D" w:rsidRPr="000A0D71" w14:paraId="5D543C15" w14:textId="77777777" w:rsidTr="0037489D">
        <w:trPr>
          <w:trHeight w:val="23"/>
        </w:trPr>
        <w:tc>
          <w:tcPr>
            <w:tcW w:w="1101" w:type="dxa"/>
          </w:tcPr>
          <w:p w14:paraId="7D6C0985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比例(%)</w:t>
            </w:r>
          </w:p>
        </w:tc>
        <w:tc>
          <w:tcPr>
            <w:tcW w:w="1134" w:type="dxa"/>
          </w:tcPr>
          <w:p w14:paraId="34B631B9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15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134" w:type="dxa"/>
          </w:tcPr>
          <w:p w14:paraId="4C9E4A2B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</w:tcPr>
          <w:p w14:paraId="6F9023CB" w14:textId="77777777" w:rsidR="005A247D" w:rsidRPr="005A247D" w:rsidRDefault="005A247D" w:rsidP="0037489D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0" w:type="dxa"/>
          </w:tcPr>
          <w:p w14:paraId="07BA0A3A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</w:tcPr>
          <w:p w14:paraId="072700B5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 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10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51" w:type="dxa"/>
          </w:tcPr>
          <w:p w14:paraId="7E52C49D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5</w:t>
            </w: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134" w:type="dxa"/>
          </w:tcPr>
          <w:p w14:paraId="484DC953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7" w:type="dxa"/>
          </w:tcPr>
          <w:p w14:paraId="6B314C97" w14:textId="77777777" w:rsidR="005A247D" w:rsidRPr="005A247D" w:rsidRDefault="005A247D" w:rsidP="0037489D">
            <w:pPr>
              <w:widowControl/>
              <w:spacing w:line="360" w:lineRule="auto"/>
              <w:jc w:val="center"/>
              <w:rPr>
                <w:rFonts w:ascii="仿宋_GB2312" w:eastAsia="仿宋_GB2312" w:hAnsi="宋体" w:cstheme="minorBidi"/>
                <w:color w:val="000000"/>
                <w:kern w:val="0"/>
                <w:szCs w:val="21"/>
              </w:rPr>
            </w:pPr>
            <w:r w:rsidRPr="005A247D">
              <w:rPr>
                <w:rFonts w:ascii="仿宋_GB2312" w:eastAsia="仿宋_GB2312" w:hAnsi="宋体" w:cstheme="minorBidi" w:hint="eastAsia"/>
                <w:color w:val="000000"/>
                <w:kern w:val="0"/>
                <w:szCs w:val="21"/>
              </w:rPr>
              <w:t>15</w:t>
            </w:r>
          </w:p>
        </w:tc>
      </w:tr>
    </w:tbl>
    <w:p w14:paraId="0391DBF5" w14:textId="77777777" w:rsidR="005A247D" w:rsidRPr="00942BE5" w:rsidRDefault="005A247D" w:rsidP="005A247D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14:paraId="7B59C970" w14:textId="77777777" w:rsidR="006F5516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37C97223" w14:textId="77777777" w:rsidR="005A247D" w:rsidRPr="008E7F01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lastRenderedPageBreak/>
        <w:t xml:space="preserve">(一) 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电路的基本概念和定律</w:t>
      </w:r>
    </w:p>
    <w:p w14:paraId="462C8759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1.考核知识点</w:t>
      </w:r>
    </w:p>
    <w:p w14:paraId="35514AFB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(1)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实际电路和电路模型</w:t>
      </w:r>
    </w:p>
    <w:p w14:paraId="0AB65D5F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电路的基本物理量</w:t>
      </w:r>
    </w:p>
    <w:p w14:paraId="1128C55B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电阻元件及其特征</w:t>
      </w:r>
    </w:p>
    <w:p w14:paraId="6427DE3E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电路中的独立电源</w:t>
      </w:r>
    </w:p>
    <w:p w14:paraId="6885D47A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基尔霍夫定律</w:t>
      </w:r>
    </w:p>
    <w:p w14:paraId="713531FF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20CBF023" w14:textId="77777777" w:rsidR="005A247D" w:rsidRPr="001A693F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)了解实际电路、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电路的功能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理想电路元件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电路模型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集总参数电路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、电位、电流、电压、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电功率与电能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支路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节点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网孔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回路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等基本概念。</w:t>
      </w:r>
    </w:p>
    <w:p w14:paraId="4AC822CA" w14:textId="77777777" w:rsidR="005A247D" w:rsidRPr="00B0410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(2)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理解电流电压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参考方向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具体含义、</w:t>
      </w:r>
      <w:r w:rsidRPr="002876F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电压电流的参考方向之间的关系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（关联与非关联性），</w:t>
      </w:r>
      <w:r w:rsidRPr="00DF6272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理想电流源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</w:t>
      </w:r>
      <w:r w:rsidRPr="00DF6272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电压源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的性质，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基尔霍夫电流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电压定理的内涵与实质。</w:t>
      </w:r>
    </w:p>
    <w:p w14:paraId="7AEB826F" w14:textId="77777777" w:rsidR="005A247D" w:rsidRPr="001A693F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150" w:left="315" w:firstLineChars="250" w:firstLine="60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) 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u、i 参考方向与 p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之间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的关系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电路元件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（包括：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电阻元件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DF6272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理想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电压源电流源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）的输出特性；掌握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基尔霍夫电流电压定理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推广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运用。</w:t>
      </w:r>
    </w:p>
    <w:p w14:paraId="37F7E179" w14:textId="77777777" w:rsidR="005A247D" w:rsidRPr="001A693F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(4)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学会计算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电功率和能量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并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判断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具体</w:t>
      </w:r>
      <w:r w:rsidRPr="00B0410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元件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在电路中的作用；能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熟练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运用</w:t>
      </w:r>
      <w:r w:rsidRPr="001A693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基尔霍夫定律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分析电路。</w:t>
      </w:r>
    </w:p>
    <w:p w14:paraId="3B91B041" w14:textId="77777777" w:rsidR="005A247D" w:rsidRPr="001231D1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(二) 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电路分析的等效变换法</w:t>
      </w:r>
    </w:p>
    <w:p w14:paraId="5F238A86" w14:textId="77777777" w:rsidR="005A247D" w:rsidRPr="00B2099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000000"/>
          <w:kern w:val="0"/>
          <w:sz w:val="24"/>
          <w:szCs w:val="24"/>
        </w:rPr>
      </w:pPr>
      <w:r w:rsidRPr="00B2099C">
        <w:rPr>
          <w:rFonts w:ascii="仿宋_GB2312" w:eastAsia="仿宋_GB2312" w:hAnsi="宋体" w:hint="eastAsia"/>
          <w:b/>
          <w:color w:val="000000"/>
          <w:kern w:val="0"/>
          <w:sz w:val="24"/>
          <w:szCs w:val="24"/>
        </w:rPr>
        <w:t>1.考核知识点</w:t>
      </w:r>
    </w:p>
    <w:p w14:paraId="71861982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等效电路</w:t>
      </w:r>
    </w:p>
    <w:p w14:paraId="408D807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电阻的串、并联等效变换</w:t>
      </w:r>
    </w:p>
    <w:p w14:paraId="0F865955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电阻星形联结与三角形联结的等效变换</w:t>
      </w:r>
    </w:p>
    <w:p w14:paraId="301DCE46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电源的等效变换</w:t>
      </w:r>
    </w:p>
    <w:p w14:paraId="027F165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受控源及其等效变换</w:t>
      </w:r>
    </w:p>
    <w:p w14:paraId="6088E94F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叠加定理与替代定理</w:t>
      </w:r>
    </w:p>
    <w:p w14:paraId="7F6B7681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lastRenderedPageBreak/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戴维南定理与诺顿定理</w:t>
      </w:r>
    </w:p>
    <w:p w14:paraId="58AE3EE7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2FB0107E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150" w:left="315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(1)理解电路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等效变换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DF6272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受控电压源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的概念；</w:t>
      </w:r>
      <w:r w:rsidRPr="00DF6272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实际电源模型的等效变换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原理、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含受控源的单口网络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等。</w:t>
      </w:r>
    </w:p>
    <w:p w14:paraId="10756CD2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150" w:firstLine="3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(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电阻的串、并联等效变换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Y形和Δ形联结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电路的结构及其相互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等效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（包括受源）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的等效变换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叠加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（包括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齐性定理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）、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替代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以及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戴维宁与诺顿定理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的内涵与解题技巧。</w:t>
      </w:r>
    </w:p>
    <w:p w14:paraId="03DC6CDD" w14:textId="77777777" w:rsidR="005A247D" w:rsidRPr="00096861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(3)能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熟练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运用等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效变换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化简电路；学会运用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叠加、替代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戴维宁与诺顿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四个</w:t>
      </w:r>
      <w:r w:rsidRPr="00E329E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定理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来分析和计算电路。</w:t>
      </w:r>
    </w:p>
    <w:p w14:paraId="3A491315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（三）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 电路分析的网络方程法</w:t>
      </w:r>
    </w:p>
    <w:p w14:paraId="206DDA55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1.考核知识点</w:t>
      </w:r>
    </w:p>
    <w:p w14:paraId="315DB03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支路（电流）法</w:t>
      </w:r>
    </w:p>
    <w:p w14:paraId="723E16CD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节点分析法</w:t>
      </w:r>
    </w:p>
    <w:p w14:paraId="52FDBB1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网孔分析法</w:t>
      </w:r>
    </w:p>
    <w:p w14:paraId="6AFF7509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回路分析法</w:t>
      </w:r>
    </w:p>
    <w:p w14:paraId="6539DAFF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779344DF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(1)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了解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电路的拓扑结构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中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电路的图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基本回路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术语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以及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KCL方程KVL方程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独立方程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数。</w:t>
      </w:r>
    </w:p>
    <w:p w14:paraId="67C60FDA" w14:textId="77777777" w:rsidR="005A247D" w:rsidRPr="00096861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(2) 理解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支路（电流）法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;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回路电流法(网孔电流法是回路电流法的特例。)和结点电压法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的概念内涵和</w:t>
      </w:r>
      <w:r w:rsidRPr="009D5AD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基本思路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345B0D51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(3)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熟练掌握回路电流法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网孔电流法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是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回路电流法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的特例。)和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结点电压法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的解题方法与</w:t>
      </w:r>
      <w:r w:rsidRPr="00EE05CC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步骤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241A9E37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(4) 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学会运用回路电流法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结点电压法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分析较复杂电路</w:t>
      </w:r>
      <w:r w:rsidRPr="005839D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2C3469E4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(四)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 正弦交流电路</w:t>
      </w:r>
    </w:p>
    <w:p w14:paraId="71CF155C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lastRenderedPageBreak/>
        <w:t>1.考核知识点</w:t>
      </w:r>
    </w:p>
    <w:p w14:paraId="307359D7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(1)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正弦量</w:t>
      </w:r>
    </w:p>
    <w:p w14:paraId="544A6AD7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正弦量的相量表示</w:t>
      </w:r>
    </w:p>
    <w:p w14:paraId="45F19CDC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电容元件和电感元件</w:t>
      </w:r>
    </w:p>
    <w:p w14:paraId="611B8D32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电路基本定律的相量形式</w:t>
      </w:r>
    </w:p>
    <w:p w14:paraId="790498DE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阻抗与导纳</w:t>
      </w:r>
    </w:p>
    <w:p w14:paraId="40697775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正弦交流电路的相量图法求解</w:t>
      </w:r>
    </w:p>
    <w:p w14:paraId="29189241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正弦交流电路中的功率</w:t>
      </w:r>
    </w:p>
    <w:p w14:paraId="2EAF9DC8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正弦交流电路的相量法求解</w:t>
      </w:r>
    </w:p>
    <w:p w14:paraId="2244D727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45FEB04F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 了解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周期函数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及其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频率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和周期。</w:t>
      </w:r>
    </w:p>
    <w:p w14:paraId="56BEA8EE" w14:textId="77777777" w:rsidR="005A247D" w:rsidRPr="000A5ED5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150" w:firstLine="3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 理解</w:t>
      </w:r>
      <w:r w:rsidRPr="00FB73FA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正弦量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正弦相量的基本概念，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正弦量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三要素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电容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电感元件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的输出特性及其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VCR的相量形式，阻抗和导纳的概念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等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6B639151" w14:textId="77777777" w:rsidR="005A247D" w:rsidRPr="000A5ED5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) 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相位差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98133B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有效值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的求法，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正弦量的表示方法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电路基本定律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（LCL、KVL）</w:t>
      </w:r>
      <w:r w:rsidRPr="007A469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的相量形式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正弦稳态交流电路的相量法（解析法）和相量图法。</w:t>
      </w:r>
    </w:p>
    <w:p w14:paraId="65CACEFA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(4) 学会利用</w:t>
      </w:r>
      <w:r w:rsidRPr="00AE5C5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相量法（解析法）和相量图法分析正弦稳态电路</w:t>
      </w:r>
      <w:r w:rsidRPr="000A5ED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30734515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(五)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 谐振与互感电路</w:t>
      </w:r>
    </w:p>
    <w:p w14:paraId="512DFE8F" w14:textId="77777777" w:rsidR="005A247D" w:rsidRPr="00B2099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000000"/>
          <w:kern w:val="0"/>
          <w:sz w:val="24"/>
          <w:szCs w:val="24"/>
        </w:rPr>
      </w:pPr>
      <w:r w:rsidRPr="00B2099C">
        <w:rPr>
          <w:rFonts w:ascii="仿宋_GB2312" w:eastAsia="仿宋_GB2312" w:hAnsi="宋体" w:hint="eastAsia"/>
          <w:b/>
          <w:color w:val="000000"/>
          <w:kern w:val="0"/>
          <w:sz w:val="24"/>
          <w:szCs w:val="24"/>
        </w:rPr>
        <w:t>1.考核知识点</w:t>
      </w:r>
    </w:p>
    <w:p w14:paraId="6C8B9C2C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串联谐振电路</w:t>
      </w:r>
    </w:p>
    <w:p w14:paraId="42F33739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并联谐振电路</w:t>
      </w:r>
    </w:p>
    <w:p w14:paraId="079A6DA3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互感与互感电压</w:t>
      </w:r>
    </w:p>
    <w:p w14:paraId="4A6CB73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含互感的正弦交流电路分析</w:t>
      </w:r>
    </w:p>
    <w:p w14:paraId="47BDB13D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理想变压器</w:t>
      </w:r>
    </w:p>
    <w:p w14:paraId="53455F74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276BCD5E" w14:textId="77777777" w:rsidR="005A247D" w:rsidRPr="009269A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lastRenderedPageBreak/>
        <w:t>(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 理解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谐振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的概念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与特点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8F133A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理想变压器的工作原理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6DB25C06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50" w:left="525" w:firstLineChars="150" w:firstLine="3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(2) 掌握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串联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、并联谐振电路谐振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的条件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9269A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互感元件的电压、电流关系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5E55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理想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变压器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的阻抗变换。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 </w:t>
      </w:r>
    </w:p>
    <w:p w14:paraId="6E8139F4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50" w:firstLine="10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(3)</w:t>
      </w:r>
      <w:r w:rsidRPr="00E30C50">
        <w:rPr>
          <w:rFonts w:ascii="仿宋_GB2312" w:eastAsia="仿宋_GB2312" w:hAnsi="宋体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学会</w:t>
      </w:r>
      <w:r w:rsidRPr="0076110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分析计算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含有互感线圈电路。</w:t>
      </w:r>
    </w:p>
    <w:p w14:paraId="6E993582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（六）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三相电路</w:t>
      </w:r>
    </w:p>
    <w:p w14:paraId="06A69D6A" w14:textId="77777777" w:rsidR="005A247D" w:rsidRPr="00B2099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000000"/>
          <w:kern w:val="0"/>
          <w:sz w:val="24"/>
          <w:szCs w:val="24"/>
        </w:rPr>
      </w:pPr>
      <w:r w:rsidRPr="00B2099C">
        <w:rPr>
          <w:rFonts w:ascii="仿宋_GB2312" w:eastAsia="仿宋_GB2312" w:hAnsi="宋体" w:hint="eastAsia"/>
          <w:b/>
          <w:color w:val="000000"/>
          <w:kern w:val="0"/>
          <w:sz w:val="24"/>
          <w:szCs w:val="24"/>
        </w:rPr>
        <w:t>1.考核知识点</w:t>
      </w:r>
    </w:p>
    <w:p w14:paraId="40F18F40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三相电源与三相负载</w:t>
      </w:r>
    </w:p>
    <w:p w14:paraId="0E115661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对称三相电路的计算</w:t>
      </w:r>
    </w:p>
    <w:p w14:paraId="4A2B8FB2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不对称三相电路的特点及分析</w:t>
      </w:r>
    </w:p>
    <w:p w14:paraId="04346BF2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三相电路的功率</w:t>
      </w:r>
    </w:p>
    <w:p w14:paraId="6A1DD2F1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153251F4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)理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解三相电路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的概念、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连接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方式；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三相电路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三种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功率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有功功率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无功功率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视在功率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）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的物理意义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及其相互联系；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不对称三相电路的概念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467EAE6B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(2)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不同联接方式的对称三相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线电压、相电压关系，线电流、相电流关系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不对称三相电路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特点及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基本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方法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04F6223B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(3) 学会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计算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对称</w:t>
      </w:r>
      <w:r w:rsidRPr="007154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三相电路的一般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方法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718BDF5D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(七)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 非正弦周期电流电路</w:t>
      </w:r>
    </w:p>
    <w:p w14:paraId="1E04D9E4" w14:textId="77777777" w:rsidR="005A247D" w:rsidRPr="00B2099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000000"/>
          <w:kern w:val="0"/>
          <w:sz w:val="24"/>
          <w:szCs w:val="24"/>
        </w:rPr>
      </w:pPr>
      <w:r w:rsidRPr="00B2099C">
        <w:rPr>
          <w:rFonts w:ascii="仿宋_GB2312" w:eastAsia="仿宋_GB2312" w:hAnsi="宋体" w:hint="eastAsia"/>
          <w:b/>
          <w:color w:val="000000"/>
          <w:kern w:val="0"/>
          <w:sz w:val="24"/>
          <w:szCs w:val="24"/>
        </w:rPr>
        <w:t>1.考核知识点</w:t>
      </w:r>
    </w:p>
    <w:p w14:paraId="3B27B0E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非正弦周期量</w:t>
      </w:r>
    </w:p>
    <w:p w14:paraId="7CBA8D25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有效值、平均值和平均功率</w:t>
      </w:r>
    </w:p>
    <w:p w14:paraId="1BC5AE9E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非正弦周期电流电路的分析</w:t>
      </w:r>
    </w:p>
    <w:p w14:paraId="09C8A5B7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718A0770" w14:textId="77777777" w:rsidR="005A247D" w:rsidRPr="00096861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150" w:left="315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了解非正弦周期信号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非正弦周期函数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</w:t>
      </w:r>
      <w:r w:rsidRPr="00096861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傅里叶级数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展开；了解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滤波器概念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；了解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对称三相电路中的零序分量和负序分量的特点。</w:t>
      </w:r>
    </w:p>
    <w:p w14:paraId="574C4919" w14:textId="77777777" w:rsidR="005A247D" w:rsidRPr="00C7487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150" w:left="315" w:firstLineChars="150" w:firstLine="3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lastRenderedPageBreak/>
        <w:t>（2）掌握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各种信号傅氏级数展开公式的应用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有效值、平均值和平均功率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的计算；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高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低通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带通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和阻通四种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滤波器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的工作原理及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非正弦周期电流电路分析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的基本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原则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</w:t>
      </w:r>
      <w:r w:rsidRPr="00C27EF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步骤</w:t>
      </w:r>
      <w:r w:rsidRPr="00C74870">
        <w:rPr>
          <w:rFonts w:ascii="仿宋_GB2312" w:eastAsia="仿宋_GB2312" w:hAnsi="宋体"/>
          <w:color w:val="000000"/>
          <w:kern w:val="0"/>
          <w:sz w:val="24"/>
          <w:szCs w:val="24"/>
        </w:rPr>
        <w:t xml:space="preserve"> </w:t>
      </w:r>
    </w:p>
    <w:p w14:paraId="249D3633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300" w:firstLine="72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（3）学会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含串联和并联谐振的非正弦周期电流电路的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基本分析方法</w:t>
      </w:r>
      <w:r w:rsidRPr="00C7487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3E350E81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(八)</w:t>
      </w:r>
      <w:r w:rsidRPr="00E30C50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 xml:space="preserve"> 动态电路的时域分析</w:t>
      </w:r>
    </w:p>
    <w:p w14:paraId="147A4BC0" w14:textId="77777777" w:rsidR="005A247D" w:rsidRPr="00B2099C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000000"/>
          <w:kern w:val="0"/>
          <w:sz w:val="24"/>
          <w:szCs w:val="24"/>
        </w:rPr>
      </w:pPr>
      <w:r w:rsidRPr="00B2099C">
        <w:rPr>
          <w:rFonts w:ascii="仿宋_GB2312" w:eastAsia="仿宋_GB2312" w:hAnsi="宋体" w:hint="eastAsia"/>
          <w:b/>
          <w:color w:val="000000"/>
          <w:kern w:val="0"/>
          <w:sz w:val="24"/>
          <w:szCs w:val="24"/>
        </w:rPr>
        <w:t>1.考核知识点</w:t>
      </w:r>
    </w:p>
    <w:p w14:paraId="32B8B2E8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电路的动态过程与动态响应</w:t>
      </w:r>
    </w:p>
    <w:p w14:paraId="72B443EC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电路初始条件的确定</w:t>
      </w:r>
    </w:p>
    <w:p w14:paraId="089EA62E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求解一阶电路动态响应的三要素法</w:t>
      </w:r>
    </w:p>
    <w:p w14:paraId="4959E67C" w14:textId="77777777" w:rsidR="005A247D" w:rsidRPr="00E30C50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一阶电路响应的分类</w:t>
      </w:r>
    </w:p>
    <w:p w14:paraId="18EC1098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</w:t>
      </w:r>
      <w:r w:rsidRPr="00E30C50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一阶电路的阶跃响应</w:t>
      </w:r>
    </w:p>
    <w:p w14:paraId="33456020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 w:rsidRPr="008E7F01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2.考核要求</w:t>
      </w:r>
    </w:p>
    <w:p w14:paraId="07857B5A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)了解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动态响应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的分类和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分析动态过程要用的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三种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分析方法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26D9E95D" w14:textId="77777777" w:rsidR="005A247D" w:rsidRPr="00FF0B7E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(2)理解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一阶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零输入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、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一阶零状态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和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一阶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全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响应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动态电路的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具体含义及其相互关系；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理解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初始值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的概念和</w:t>
      </w:r>
      <w:r w:rsidRPr="00BC669F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换路定则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；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理解一阶电路正弦响应动态过程特点。 </w:t>
      </w:r>
    </w:p>
    <w:p w14:paraId="10DA5B12" w14:textId="77777777" w:rsidR="005A247D" w:rsidRPr="00FF0B7E" w:rsidRDefault="005A247D" w:rsidP="00866752">
      <w:pPr>
        <w:widowControl/>
        <w:shd w:val="clear" w:color="auto" w:fill="FFFFFF"/>
        <w:adjustRightInd w:val="0"/>
        <w:snapToGrid w:val="0"/>
        <w:spacing w:line="560" w:lineRule="exact"/>
        <w:ind w:firstLineChars="400" w:firstLine="96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(3) 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掌握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分析</w:t>
      </w:r>
      <w:r w:rsidRPr="00EA00A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一阶动态电路的三要素法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，并学会运用</w:t>
      </w:r>
      <w:r w:rsidRPr="00FF0B7E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。</w:t>
      </w:r>
    </w:p>
    <w:p w14:paraId="23E4838E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1097930A" w14:textId="77777777" w:rsidR="005A247D" w:rsidRPr="00942BE5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firstLineChars="250" w:firstLine="60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学生可自带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电路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绘图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工具，如</w:t>
      </w:r>
      <w:r w:rsidRPr="00942BE5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HB铅笔和直尺。</w:t>
      </w:r>
    </w:p>
    <w:p w14:paraId="21F09FCE" w14:textId="77777777" w:rsidR="005A247D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272F6C04" w14:textId="77777777" w:rsidR="005A247D" w:rsidRPr="00195949" w:rsidRDefault="005A247D" w:rsidP="005A247D">
      <w:pPr>
        <w:widowControl/>
        <w:shd w:val="clear" w:color="auto" w:fill="FFFFFF"/>
        <w:adjustRightInd w:val="0"/>
        <w:snapToGrid w:val="0"/>
        <w:spacing w:line="560" w:lineRule="exact"/>
        <w:ind w:leftChars="200" w:left="420" w:firstLineChars="50" w:firstLine="12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19594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教科书：石生编著，《电路基本分析（第5版）》，</w:t>
      </w:r>
      <w:bookmarkStart w:id="0" w:name="_Hlk150191499"/>
      <w:r w:rsidRPr="0019594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高等教育出版社</w:t>
      </w:r>
      <w:bookmarkEnd w:id="0"/>
      <w:r w:rsidRPr="0019594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，2019年05月。</w:t>
      </w:r>
    </w:p>
    <w:p w14:paraId="24819F1C" w14:textId="5BE0ADB1" w:rsidR="006F5516" w:rsidRPr="007A01DE" w:rsidRDefault="006F5516" w:rsidP="0078621A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sectPr w:rsidR="006F5516" w:rsidRPr="007A01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805C" w14:textId="77777777" w:rsidR="00823466" w:rsidRDefault="00823466" w:rsidP="00234FF5">
      <w:r>
        <w:separator/>
      </w:r>
    </w:p>
  </w:endnote>
  <w:endnote w:type="continuationSeparator" w:id="0">
    <w:p w14:paraId="582BBF9D" w14:textId="77777777" w:rsidR="00823466" w:rsidRDefault="00823466" w:rsidP="0023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3AE8" w14:textId="77777777" w:rsidR="00823466" w:rsidRDefault="00823466" w:rsidP="00234FF5">
      <w:r>
        <w:separator/>
      </w:r>
    </w:p>
  </w:footnote>
  <w:footnote w:type="continuationSeparator" w:id="0">
    <w:p w14:paraId="480E6204" w14:textId="77777777" w:rsidR="00823466" w:rsidRDefault="00823466" w:rsidP="0023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41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MzOTFmN2ViYzUwMTFiZTQ4NGZmM2QyNzUwZWI5ZmEifQ=="/>
  </w:docVars>
  <w:rsids>
    <w:rsidRoot w:val="0074177C"/>
    <w:rsid w:val="000640A1"/>
    <w:rsid w:val="000E08DB"/>
    <w:rsid w:val="00234FF5"/>
    <w:rsid w:val="003311BA"/>
    <w:rsid w:val="00397BBE"/>
    <w:rsid w:val="003B78A9"/>
    <w:rsid w:val="004679F3"/>
    <w:rsid w:val="004736CD"/>
    <w:rsid w:val="0048357F"/>
    <w:rsid w:val="004F0BAF"/>
    <w:rsid w:val="0050635B"/>
    <w:rsid w:val="005A247D"/>
    <w:rsid w:val="005D08E1"/>
    <w:rsid w:val="006F5516"/>
    <w:rsid w:val="0074177C"/>
    <w:rsid w:val="0078621A"/>
    <w:rsid w:val="007A01DE"/>
    <w:rsid w:val="00810F9B"/>
    <w:rsid w:val="00823466"/>
    <w:rsid w:val="00826F4C"/>
    <w:rsid w:val="00866752"/>
    <w:rsid w:val="00A66AA3"/>
    <w:rsid w:val="00AA2AFE"/>
    <w:rsid w:val="00D43991"/>
    <w:rsid w:val="00E60293"/>
    <w:rsid w:val="21C9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E23E4"/>
  <w15:docId w15:val="{4FBEAA54-74DD-409F-B465-EF484DA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qFormat/>
    <w:rsid w:val="005A247D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439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43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14</cp:revision>
  <dcterms:created xsi:type="dcterms:W3CDTF">2022-02-22T07:07:00Z</dcterms:created>
  <dcterms:modified xsi:type="dcterms:W3CDTF">2023-11-14T03:07:00Z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7FAEF7D815F342E4A68841BD35BEBFED</vt:lpwstr>
  </property>
</Properties>
</file>