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center"/>
        <w:rPr>
          <w:rFonts w:ascii="Times New Roman" w:hAnsi="Times New Roman" w:eastAsia="仿宋" w:cs="Times New Roman"/>
          <w:b/>
          <w:bCs/>
          <w:color w:val="333333"/>
          <w:kern w:val="0"/>
          <w:sz w:val="40"/>
          <w:szCs w:val="40"/>
          <w:shd w:val="clear" w:color="auto" w:fill="FFFFFF"/>
          <w:lang w:bidi="ar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color w:val="333333"/>
          <w:kern w:val="0"/>
          <w:sz w:val="40"/>
          <w:szCs w:val="40"/>
          <w:shd w:val="clear" w:color="auto" w:fill="FFFFFF"/>
          <w:lang w:bidi="ar"/>
        </w:rPr>
        <w:t>湖南工商大学2022年“专升本”</w:t>
      </w:r>
      <w:r>
        <w:rPr>
          <w:rFonts w:hint="eastAsia" w:ascii="Times New Roman" w:hAnsi="Times New Roman" w:eastAsia="仿宋" w:cs="Times New Roman"/>
          <w:b/>
          <w:bCs/>
          <w:color w:val="333333"/>
          <w:kern w:val="0"/>
          <w:sz w:val="40"/>
          <w:szCs w:val="40"/>
          <w:shd w:val="clear" w:color="auto" w:fill="FFFFFF"/>
          <w:lang w:bidi="ar"/>
        </w:rPr>
        <w:t>招生专业简介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560" w:lineRule="exact"/>
        <w:ind w:firstLine="560"/>
        <w:rPr>
          <w:rFonts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（一）物流管理</w:t>
      </w:r>
    </w:p>
    <w:p>
      <w:pPr>
        <w:shd w:val="clear" w:color="auto" w:fill="FFFFFF"/>
        <w:spacing w:line="560" w:lineRule="exact"/>
        <w:ind w:firstLine="560"/>
        <w:rPr>
          <w:rFonts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国家级一流本科专业建设点，国家级专业综合改革试点项目，省级资助建设专业，物流工程专业硕士授权点。开设的《企业物流管理》为国家级精品课程、国家级精品资源共享课。培养适应新时代背景下国家和区域经济社会发展需要，具备扎实的经济学、管理学、系统工程学等学科知识、系统掌握现代物流与供应链管理基本理论和经营业务操作方法，具有良好职业道德、创新精神和创业能力，德、智、体、美、劳全面发展，满足智慧物流产业需求的具有供应链管理思维，能在物流管理领域从事物流业务运作、物流管理及供应链物流系统优化工作的应用型高级专门人才。</w:t>
      </w:r>
    </w:p>
    <w:p>
      <w:pPr>
        <w:shd w:val="clear" w:color="auto" w:fill="FFFFFF"/>
        <w:spacing w:line="560" w:lineRule="exact"/>
        <w:ind w:firstLine="560"/>
        <w:rPr>
          <w:rFonts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（二）市场营销</w:t>
      </w:r>
    </w:p>
    <w:p>
      <w:pPr>
        <w:shd w:val="clear" w:color="auto" w:fill="FFFFFF"/>
        <w:spacing w:line="560" w:lineRule="exact"/>
        <w:ind w:firstLine="560"/>
        <w:rPr>
          <w:rFonts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教育部高等学校“第一类特色专业建设点”，省级一流本科专业建设点，省级重点专业，省级特色专业。开设的《市场营销学》为省级精品课程。培养适应现代商业和社会经济发展需要，熟练掌握市场营销基本理论和前沿知识、营销方法和应用技能，具备扎实的管理学和经济学知识，具有为市场领域进行产品或者项目的市场调研、市场开拓、销售管理、全渠道营销、营销策划和制定营销战略的专业能力和职业素养，外语应用能力良好、创新创业能力强，富有团队协作精神，德、智、体、美、劳全面发展，能在企事业单位、非营利组织等领域从事营销管理和营销创新工作的创新型、创业型、应用型、复合型高级专门人才。</w:t>
      </w:r>
    </w:p>
    <w:p>
      <w:pPr>
        <w:shd w:val="clear" w:color="auto" w:fill="FFFFFF"/>
        <w:spacing w:line="560" w:lineRule="exact"/>
        <w:ind w:firstLine="560"/>
        <w:rPr>
          <w:rFonts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（三）金融学</w:t>
      </w:r>
    </w:p>
    <w:p>
      <w:pPr>
        <w:shd w:val="clear" w:color="auto" w:fill="FFFFFF"/>
        <w:spacing w:line="560" w:lineRule="exact"/>
        <w:ind w:firstLine="560"/>
        <w:rPr>
          <w:rFonts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国家级一流本科专业建设点，省级特色专业，省级专业综合改革试点项目。培养适应国家和区域经济社会发展需要，德、智、体、美、劳全面发展，适应金融开放、金融科技发展趋势，系统掌握金融学专业基本理论与业务技能，具有较强国际化视野、创新精神与实践能力，能在银行、证券、保险等金融行业企业、政府部门及其他企事业单位从业务及管理工作的创新型、创业型、应用型、复合型高级专门人才。</w:t>
      </w:r>
    </w:p>
    <w:p>
      <w:pPr>
        <w:shd w:val="clear" w:color="auto" w:fill="FFFFFF"/>
        <w:spacing w:line="560" w:lineRule="exact"/>
        <w:ind w:firstLine="560"/>
        <w:rPr>
          <w:rFonts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（四）电子商务</w:t>
      </w:r>
    </w:p>
    <w:p>
      <w:pPr>
        <w:shd w:val="clear" w:color="auto" w:fill="FFFFFF"/>
        <w:spacing w:line="560" w:lineRule="exact"/>
        <w:ind w:firstLine="560"/>
        <w:rPr>
          <w:rFonts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  <w:t>省级一流本科专业建设点，湖南省第一批电子商务本科专业，依托于电子商务本科专业建设，先后于2014年和2017年获批互联网经济和产业经济学（电子商务）硕士学位点以及国际商务（跨境电商）专业硕士。开设《网络经济学》《跨境电商理论与实务》《网络营销》《电子商务运营》等理论与实践课程。《跨境电商理论与实务》为省级一流本科课程。培养具有为人民服务，为中国共产党治国理政服务，为巩固和发展中国特色社会主义制度服务，为改革开放和社会主义现代化建设服务”的理想与精神，实现“新技术、新经济、新理论、新方法”的融合， 系统掌握经济学、管理学基础理论与商务活动知识，综合培养优良品德素质、健康心理素质、强健身体素质与前沿科学素质，具备互联网思维和市场竞争意识以及良好的外语应用能力，能够从事电子商务策划、运营、管理及开发等工作，德、智、体、美、劳全面发展的创新型、创业型、应用型、复合型高级专门人才。</w:t>
      </w:r>
    </w:p>
    <w:p>
      <w:pPr>
        <w:shd w:val="clear" w:color="auto" w:fill="FFFFFF"/>
        <w:spacing w:line="560" w:lineRule="exact"/>
        <w:ind w:firstLine="560"/>
        <w:rPr>
          <w:rFonts w:hint="default"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（五）</w:t>
      </w:r>
      <w:r>
        <w:rPr>
          <w:rFonts w:hint="eastAsia"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会计学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  <w:t>国家级一流本科专业建设点，省级特色专业，省级专业综合改革试点项目，有硕士学位授权点。开设的《高级财务会计》为国家一流课程，《基础会计学》为湖南省一流课程。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  <w:t>培养适应国家和区域经济社会发展需要，具备人文精神、科学素养和诚信品质、国际视野和双创意识，具备管理学、经济学的基本理论和会计学专业知识，德、智、体、美、劳全面发展，能在营利性和非营利性机构从事会计实务工作的创新型、创业型、应用型、复合型高级专门人才。</w:t>
      </w:r>
    </w:p>
    <w:p>
      <w:pPr>
        <w:shd w:val="clear" w:color="auto" w:fill="FFFFFF"/>
        <w:spacing w:line="560" w:lineRule="exact"/>
        <w:ind w:firstLine="560"/>
        <w:rPr>
          <w:rFonts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（六）商务英语</w:t>
      </w:r>
    </w:p>
    <w:p>
      <w:pPr>
        <w:shd w:val="clear" w:color="auto" w:fill="FFFFFF"/>
        <w:spacing w:line="560" w:lineRule="exact"/>
        <w:ind w:firstLine="560"/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  <w:t>省级一流本科专业建设点，《高级商务英语》、《英语阅读》、《商务英语口语虚仿实验教学》为省级一流本科课程，开设国际贸易和国际金融两个方向。培养适应国家和区域经济社会发展需要，具有扎实的英语基本功、宽阔的国际视野、专门的国际商务知识与技能，掌握经济学和管理学等相关学科的基本知识和理论，具备较强的跨文化交际能力与较高的人文素养，德、智、体、美、劳全面发展，能在经贸、管理、金融等领域从事贸易、翻译、管理、研究等工作的创新性、创业型、应用型、复合型高级商务英语专门人才。</w:t>
      </w:r>
    </w:p>
    <w:p>
      <w:pPr>
        <w:numPr>
          <w:ilvl w:val="0"/>
          <w:numId w:val="1"/>
        </w:numPr>
        <w:shd w:val="clear" w:color="auto" w:fill="FFFFFF"/>
        <w:spacing w:line="560" w:lineRule="exact"/>
        <w:ind w:firstLine="560"/>
        <w:rPr>
          <w:rFonts w:hint="eastAsia"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旅游管理</w:t>
      </w:r>
    </w:p>
    <w:p>
      <w:pPr>
        <w:shd w:val="clear" w:color="auto" w:fill="FFFFFF"/>
        <w:spacing w:line="560" w:lineRule="exact"/>
        <w:ind w:firstLine="560"/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  <w:t>省级一流本科专业建设点，省级重点专业。培养德、智、体、美、劳全面发展的需要，具备工商管理和应用经济学等学科基本理论素养，掌握现代旅游管理基础理论和专业技能，了解和熟悉现代旅游企业经营管理理论和方法，具备良好的职业道德和职业精神，能在与旅游业相关的经营、管理、策划、规划、咨询、培训、教育等行业从事管理与研究工作的人格品质健全、专业知识坚实、技术技能较强，具备适应终身发展和社会发展需要的必备品格和关键能力，具有国际视野的创新型、创业型、应用型、复合型高级旅游管理专门人才。</w:t>
      </w:r>
    </w:p>
    <w:p>
      <w:pPr>
        <w:shd w:val="clear" w:color="auto" w:fill="FFFFFF"/>
        <w:spacing w:line="560" w:lineRule="exact"/>
        <w:ind w:firstLine="560"/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7299356"/>
    </w:sdtPr>
    <w:sdtEndPr>
      <w:rPr>
        <w:sz w:val="22"/>
        <w:szCs w:val="22"/>
      </w:rPr>
    </w:sdtEndPr>
    <w:sdtContent>
      <w:p>
        <w:pPr>
          <w:pStyle w:val="7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  <w:lang w:val="zh-CN"/>
          </w:rPr>
          <w:t>2</w:t>
        </w:r>
        <w:r>
          <w:rPr>
            <w:sz w:val="22"/>
            <w:szCs w:val="22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F082F1"/>
    <w:multiLevelType w:val="singleLevel"/>
    <w:tmpl w:val="40F082F1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06"/>
    <w:rsid w:val="000B09F9"/>
    <w:rsid w:val="00121EC4"/>
    <w:rsid w:val="001A4377"/>
    <w:rsid w:val="002C700D"/>
    <w:rsid w:val="00333952"/>
    <w:rsid w:val="00350A82"/>
    <w:rsid w:val="003718B1"/>
    <w:rsid w:val="00415640"/>
    <w:rsid w:val="0046211B"/>
    <w:rsid w:val="00555DE3"/>
    <w:rsid w:val="00581F45"/>
    <w:rsid w:val="005D4802"/>
    <w:rsid w:val="005E2AB3"/>
    <w:rsid w:val="006553E5"/>
    <w:rsid w:val="00656B4F"/>
    <w:rsid w:val="006F074A"/>
    <w:rsid w:val="007A0971"/>
    <w:rsid w:val="007A4C83"/>
    <w:rsid w:val="007B6EDA"/>
    <w:rsid w:val="008A3762"/>
    <w:rsid w:val="00905E52"/>
    <w:rsid w:val="0098088A"/>
    <w:rsid w:val="00A13658"/>
    <w:rsid w:val="00A611D2"/>
    <w:rsid w:val="00AA0E83"/>
    <w:rsid w:val="00B1781C"/>
    <w:rsid w:val="00B92AEA"/>
    <w:rsid w:val="00C03D06"/>
    <w:rsid w:val="00D133C0"/>
    <w:rsid w:val="00DC5351"/>
    <w:rsid w:val="00E378E6"/>
    <w:rsid w:val="00EF6F4D"/>
    <w:rsid w:val="00F731F3"/>
    <w:rsid w:val="00F7627F"/>
    <w:rsid w:val="00F84923"/>
    <w:rsid w:val="01C95D51"/>
    <w:rsid w:val="02185630"/>
    <w:rsid w:val="031501E5"/>
    <w:rsid w:val="032D1013"/>
    <w:rsid w:val="038D16A3"/>
    <w:rsid w:val="03D270B5"/>
    <w:rsid w:val="064F7E2B"/>
    <w:rsid w:val="06627961"/>
    <w:rsid w:val="070636FC"/>
    <w:rsid w:val="07365690"/>
    <w:rsid w:val="07E2689B"/>
    <w:rsid w:val="089A06BE"/>
    <w:rsid w:val="0A570314"/>
    <w:rsid w:val="0CD6592C"/>
    <w:rsid w:val="0D6C4DF9"/>
    <w:rsid w:val="0D8F3E16"/>
    <w:rsid w:val="102D5D9F"/>
    <w:rsid w:val="104F4A29"/>
    <w:rsid w:val="107C18AC"/>
    <w:rsid w:val="124A17B0"/>
    <w:rsid w:val="163A04EB"/>
    <w:rsid w:val="17F60032"/>
    <w:rsid w:val="18A87A34"/>
    <w:rsid w:val="1A746A56"/>
    <w:rsid w:val="1AD97501"/>
    <w:rsid w:val="1DEE7CDB"/>
    <w:rsid w:val="1F8B54F4"/>
    <w:rsid w:val="1F9C4CF0"/>
    <w:rsid w:val="205A7CE6"/>
    <w:rsid w:val="21224D40"/>
    <w:rsid w:val="21C560AE"/>
    <w:rsid w:val="225E628C"/>
    <w:rsid w:val="227553A9"/>
    <w:rsid w:val="234D5FAB"/>
    <w:rsid w:val="243F6C98"/>
    <w:rsid w:val="269438E9"/>
    <w:rsid w:val="27481A26"/>
    <w:rsid w:val="276A5852"/>
    <w:rsid w:val="290D3372"/>
    <w:rsid w:val="2B193B03"/>
    <w:rsid w:val="2C4A37A6"/>
    <w:rsid w:val="2CB10399"/>
    <w:rsid w:val="2CF47C69"/>
    <w:rsid w:val="2DA86ED1"/>
    <w:rsid w:val="2F590507"/>
    <w:rsid w:val="305D5DD5"/>
    <w:rsid w:val="30BE2F3E"/>
    <w:rsid w:val="31561413"/>
    <w:rsid w:val="31D168D8"/>
    <w:rsid w:val="33904C1B"/>
    <w:rsid w:val="34541E42"/>
    <w:rsid w:val="37D63630"/>
    <w:rsid w:val="384F1053"/>
    <w:rsid w:val="3ACC6031"/>
    <w:rsid w:val="3AED659D"/>
    <w:rsid w:val="3BBC60A6"/>
    <w:rsid w:val="3D4615FD"/>
    <w:rsid w:val="3DF14DC1"/>
    <w:rsid w:val="3ECB1F84"/>
    <w:rsid w:val="40186C0D"/>
    <w:rsid w:val="40BB7428"/>
    <w:rsid w:val="41434252"/>
    <w:rsid w:val="43540179"/>
    <w:rsid w:val="443B1A49"/>
    <w:rsid w:val="447E54FA"/>
    <w:rsid w:val="448714B6"/>
    <w:rsid w:val="44916A6B"/>
    <w:rsid w:val="469F0A9E"/>
    <w:rsid w:val="4A9B5A20"/>
    <w:rsid w:val="4CBF59F6"/>
    <w:rsid w:val="4DFA6B3E"/>
    <w:rsid w:val="50D94DC4"/>
    <w:rsid w:val="51976CDE"/>
    <w:rsid w:val="52BF73AB"/>
    <w:rsid w:val="53B13BBE"/>
    <w:rsid w:val="56212A55"/>
    <w:rsid w:val="56266A73"/>
    <w:rsid w:val="57991DB8"/>
    <w:rsid w:val="57F15854"/>
    <w:rsid w:val="59836FA7"/>
    <w:rsid w:val="5A1310A5"/>
    <w:rsid w:val="5A9C2454"/>
    <w:rsid w:val="5AD83518"/>
    <w:rsid w:val="5E6F6B50"/>
    <w:rsid w:val="5ECE2131"/>
    <w:rsid w:val="60916920"/>
    <w:rsid w:val="613D1187"/>
    <w:rsid w:val="61CB0DA2"/>
    <w:rsid w:val="61D52E3F"/>
    <w:rsid w:val="642E7722"/>
    <w:rsid w:val="647129A5"/>
    <w:rsid w:val="649634B0"/>
    <w:rsid w:val="64CB129A"/>
    <w:rsid w:val="64F00A5B"/>
    <w:rsid w:val="65836F5E"/>
    <w:rsid w:val="65DC7879"/>
    <w:rsid w:val="6608535E"/>
    <w:rsid w:val="666D7E19"/>
    <w:rsid w:val="69A64BCA"/>
    <w:rsid w:val="6A623998"/>
    <w:rsid w:val="6B353204"/>
    <w:rsid w:val="6D174AF6"/>
    <w:rsid w:val="6EAE5700"/>
    <w:rsid w:val="6EB64078"/>
    <w:rsid w:val="6F3316C4"/>
    <w:rsid w:val="6F990A94"/>
    <w:rsid w:val="708F232F"/>
    <w:rsid w:val="70962D81"/>
    <w:rsid w:val="735338CD"/>
    <w:rsid w:val="793B3DA7"/>
    <w:rsid w:val="7A6E64E4"/>
    <w:rsid w:val="7E171997"/>
    <w:rsid w:val="7E4B64FB"/>
    <w:rsid w:val="7FF119F6"/>
    <w:rsid w:val="7FF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4"/>
      <w:ind w:left="40"/>
    </w:pPr>
    <w:rPr>
      <w:sz w:val="20"/>
      <w:szCs w:val="20"/>
    </w:rPr>
  </w:style>
  <w:style w:type="paragraph" w:styleId="6">
    <w:name w:val="Body Text Indent"/>
    <w:basedOn w:val="1"/>
    <w:qFormat/>
    <w:uiPriority w:val="99"/>
    <w:pPr>
      <w:ind w:firstLine="435"/>
    </w:pPr>
    <w:rPr>
      <w:kern w:val="0"/>
      <w:sz w:val="24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2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3 字符"/>
    <w:basedOn w:val="11"/>
    <w:link w:val="4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87BA2-40DB-4A71-A166-967A510539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838</Words>
  <Characters>4782</Characters>
  <Lines>39</Lines>
  <Paragraphs>11</Paragraphs>
  <TotalTime>1</TotalTime>
  <ScaleCrop>false</ScaleCrop>
  <LinksUpToDate>false</LinksUpToDate>
  <CharactersWithSpaces>5609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2022-02-14T14:29:00Z</dcterms:created>
  <dc:creator>Administrator</dc:creator>
  <cp:lastModifiedBy>101</cp:lastModifiedBy>
  <cp:lastPrinted>2022-03-04T00:07:00Z</cp:lastPrinted>
  <dcterms:modified xsi:type="dcterms:W3CDTF">2022-03-04T02:07:12Z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41DD550A50DF4B93AB42B6443365763B</vt:lpwstr>
  </property>
</Properties>
</file>