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
          <w:sz w:val="30"/>
          <w:szCs w:val="30"/>
        </w:rPr>
      </w:pPr>
      <w:bookmarkStart w:id="0" w:name="_Hlk96936199"/>
      <w:r>
        <w:rPr>
          <w:rFonts w:hint="eastAsia" w:ascii="黑体" w:hAnsi="宋体" w:eastAsia="黑体"/>
          <w:b/>
          <w:sz w:val="30"/>
          <w:szCs w:val="30"/>
        </w:rPr>
        <w:t>湘潭大学兴湘学院2022年专升本</w:t>
      </w:r>
      <w:r>
        <w:rPr>
          <w:rFonts w:hint="eastAsia" w:ascii="黑体" w:hAnsi="宋体" w:eastAsia="黑体"/>
          <w:b/>
          <w:sz w:val="30"/>
          <w:szCs w:val="30"/>
        </w:rPr>
        <w:t>《公共政策学》考试大</w:t>
      </w:r>
      <w:bookmarkStart w:id="12" w:name="_GoBack"/>
      <w:bookmarkEnd w:id="12"/>
      <w:r>
        <w:rPr>
          <w:rFonts w:hint="eastAsia" w:ascii="黑体" w:hAnsi="宋体" w:eastAsia="黑体"/>
          <w:b/>
          <w:sz w:val="30"/>
          <w:szCs w:val="30"/>
        </w:rPr>
        <w:t>纲</w:t>
      </w:r>
    </w:p>
    <w:bookmarkEnd w:id="0"/>
    <w:p>
      <w:pPr>
        <w:pStyle w:val="2"/>
        <w:spacing w:before="240" w:after="240" w:line="440" w:lineRule="exact"/>
        <w:ind w:firstLine="630" w:firstLineChars="196"/>
        <w:rPr>
          <w:rFonts w:ascii="宋体" w:hAnsi="宋体"/>
          <w:color w:val="000000"/>
          <w:sz w:val="32"/>
        </w:rPr>
      </w:pPr>
      <w:bookmarkStart w:id="1" w:name="_Toc297841283"/>
      <w:bookmarkStart w:id="2" w:name="_Toc390505014"/>
      <w:r>
        <w:rPr>
          <w:rFonts w:ascii="宋体" w:hAnsi="宋体"/>
          <w:color w:val="000000"/>
          <w:sz w:val="32"/>
        </w:rPr>
        <w:t>一、考查目标</w:t>
      </w:r>
      <w:bookmarkEnd w:id="1"/>
      <w:bookmarkEnd w:id="2"/>
    </w:p>
    <w:p>
      <w:pPr>
        <w:widowControl/>
        <w:spacing w:line="360" w:lineRule="auto"/>
        <w:ind w:firstLine="470" w:firstLineChars="196"/>
        <w:jc w:val="left"/>
        <w:rPr>
          <w:rFonts w:asciiTheme="minorEastAsia" w:hAnsiTheme="minorEastAsia"/>
          <w:color w:val="000000"/>
          <w:sz w:val="24"/>
        </w:rPr>
      </w:pPr>
      <w:r>
        <w:rPr>
          <w:rFonts w:hint="eastAsia" w:asciiTheme="minorEastAsia" w:hAnsiTheme="minorEastAsia"/>
          <w:color w:val="000000"/>
          <w:sz w:val="24"/>
        </w:rPr>
        <w:t>公共政策是公共权力机关经由政治过程所选择和制定的为解决公共问题、达成公共目标、以实现公共利益的方案，其作用是规范和指导有关机构、团体或个人的行动，其表达形式包括法律法规、行政规定或命令、国家领导人口头或书面的指示、政府规划等。《</w:t>
      </w:r>
      <w:r>
        <w:rPr>
          <w:rFonts w:asciiTheme="minorEastAsia" w:hAnsiTheme="minorEastAsia"/>
          <w:color w:val="000000"/>
          <w:sz w:val="24"/>
        </w:rPr>
        <w:t>公共</w:t>
      </w:r>
      <w:r>
        <w:rPr>
          <w:rFonts w:hint="eastAsia" w:asciiTheme="minorEastAsia" w:hAnsiTheme="minorEastAsia"/>
          <w:color w:val="000000"/>
          <w:sz w:val="24"/>
        </w:rPr>
        <w:t>政策</w:t>
      </w:r>
      <w:r>
        <w:rPr>
          <w:rFonts w:asciiTheme="minorEastAsia" w:hAnsiTheme="minorEastAsia"/>
          <w:color w:val="000000"/>
          <w:sz w:val="24"/>
        </w:rPr>
        <w:t>学</w:t>
      </w:r>
      <w:r>
        <w:rPr>
          <w:rFonts w:hint="eastAsia" w:asciiTheme="minorEastAsia" w:hAnsiTheme="minorEastAsia"/>
          <w:color w:val="000000"/>
          <w:sz w:val="24"/>
        </w:rPr>
        <w:t>》</w:t>
      </w:r>
      <w:r>
        <w:rPr>
          <w:rFonts w:asciiTheme="minorEastAsia" w:hAnsiTheme="minorEastAsia"/>
          <w:color w:val="000000"/>
          <w:sz w:val="24"/>
        </w:rPr>
        <w:t>是</w:t>
      </w:r>
      <w:r>
        <w:rPr>
          <w:rFonts w:hint="eastAsia" w:asciiTheme="minorEastAsia" w:hAnsiTheme="minorEastAsia"/>
          <w:color w:val="000000"/>
          <w:sz w:val="24"/>
        </w:rPr>
        <w:t>公共管理学科的一门基础课，旨在培养学生的公共政策理论素养、专业意识和实际应用能力。因此，《公共政策学》课程的入学考试，既充分反映公共管理的学科特点，检测考生对基本理论知识掌握和理解的情况；又要紧密结合新时代公共管理实践，检测考生对公共政策理论知识实际运用的能力。</w:t>
      </w:r>
    </w:p>
    <w:p>
      <w:pPr>
        <w:spacing w:line="420" w:lineRule="exact"/>
        <w:ind w:firstLine="480" w:firstLineChars="200"/>
        <w:rPr>
          <w:rFonts w:asciiTheme="minorEastAsia" w:hAnsiTheme="minorEastAsia"/>
          <w:color w:val="000000"/>
          <w:sz w:val="24"/>
        </w:rPr>
      </w:pPr>
      <w:bookmarkStart w:id="3" w:name="_Toc390505015"/>
      <w:bookmarkStart w:id="4" w:name="_Toc297841284"/>
      <w:r>
        <w:rPr>
          <w:rFonts w:asciiTheme="minorEastAsia" w:hAnsiTheme="minorEastAsia"/>
          <w:color w:val="000000"/>
          <w:sz w:val="24"/>
        </w:rPr>
        <w:t>本课程要求考生了解公共政策的基本概念</w:t>
      </w:r>
      <w:r>
        <w:rPr>
          <w:rFonts w:hint="eastAsia" w:asciiTheme="minorEastAsia" w:hAnsiTheme="minorEastAsia"/>
          <w:color w:val="000000"/>
          <w:sz w:val="24"/>
        </w:rPr>
        <w:t>、</w:t>
      </w:r>
      <w:r>
        <w:rPr>
          <w:rFonts w:asciiTheme="minorEastAsia" w:hAnsiTheme="minorEastAsia"/>
          <w:color w:val="000000"/>
          <w:sz w:val="24"/>
        </w:rPr>
        <w:t>系统过程</w:t>
      </w:r>
      <w:r>
        <w:rPr>
          <w:rFonts w:hint="eastAsia" w:asciiTheme="minorEastAsia" w:hAnsiTheme="minorEastAsia"/>
          <w:color w:val="000000"/>
          <w:sz w:val="24"/>
        </w:rPr>
        <w:t>、</w:t>
      </w:r>
      <w:r>
        <w:rPr>
          <w:rFonts w:asciiTheme="minorEastAsia" w:hAnsiTheme="minorEastAsia"/>
          <w:color w:val="000000"/>
          <w:sz w:val="24"/>
        </w:rPr>
        <w:t>分析方法与理论模型等</w:t>
      </w:r>
      <w:r>
        <w:rPr>
          <w:rFonts w:hint="eastAsia" w:asciiTheme="minorEastAsia" w:hAnsiTheme="minorEastAsia"/>
          <w:color w:val="000000"/>
          <w:sz w:val="24"/>
        </w:rPr>
        <w:t>，</w:t>
      </w:r>
      <w:r>
        <w:rPr>
          <w:rFonts w:asciiTheme="minorEastAsia" w:hAnsiTheme="minorEastAsia"/>
          <w:color w:val="000000"/>
          <w:sz w:val="24"/>
        </w:rPr>
        <w:t>掌握公共政策问题构建</w:t>
      </w:r>
      <w:r>
        <w:rPr>
          <w:rFonts w:hint="eastAsia" w:asciiTheme="minorEastAsia" w:hAnsiTheme="minorEastAsia"/>
          <w:color w:val="000000"/>
          <w:sz w:val="24"/>
        </w:rPr>
        <w:t>、</w:t>
      </w:r>
      <w:r>
        <w:rPr>
          <w:rFonts w:asciiTheme="minorEastAsia" w:hAnsiTheme="minorEastAsia"/>
          <w:color w:val="000000"/>
          <w:sz w:val="24"/>
        </w:rPr>
        <w:t>方案制定</w:t>
      </w:r>
      <w:r>
        <w:rPr>
          <w:rFonts w:hint="eastAsia" w:asciiTheme="minorEastAsia" w:hAnsiTheme="minorEastAsia"/>
          <w:color w:val="000000"/>
          <w:sz w:val="24"/>
        </w:rPr>
        <w:t>、</w:t>
      </w:r>
      <w:r>
        <w:rPr>
          <w:rFonts w:asciiTheme="minorEastAsia" w:hAnsiTheme="minorEastAsia"/>
          <w:color w:val="000000"/>
          <w:sz w:val="24"/>
        </w:rPr>
        <w:t>内容执行</w:t>
      </w:r>
      <w:r>
        <w:rPr>
          <w:rFonts w:hint="eastAsia" w:asciiTheme="minorEastAsia" w:hAnsiTheme="minorEastAsia"/>
          <w:color w:val="000000"/>
          <w:sz w:val="24"/>
        </w:rPr>
        <w:t>、</w:t>
      </w:r>
      <w:r>
        <w:rPr>
          <w:rFonts w:asciiTheme="minorEastAsia" w:hAnsiTheme="minorEastAsia"/>
          <w:color w:val="000000"/>
          <w:sz w:val="24"/>
        </w:rPr>
        <w:t>效果评价等知识要点</w:t>
      </w:r>
      <w:r>
        <w:rPr>
          <w:rFonts w:hint="eastAsia" w:asciiTheme="minorEastAsia" w:hAnsiTheme="minorEastAsia"/>
          <w:color w:val="000000"/>
          <w:sz w:val="24"/>
        </w:rPr>
        <w:t>，</w:t>
      </w:r>
      <w:r>
        <w:rPr>
          <w:rFonts w:asciiTheme="minorEastAsia" w:hAnsiTheme="minorEastAsia"/>
          <w:color w:val="000000"/>
          <w:sz w:val="24"/>
        </w:rPr>
        <w:t>能够运用公共政策的视角</w:t>
      </w:r>
      <w:r>
        <w:rPr>
          <w:rFonts w:hint="eastAsia" w:asciiTheme="minorEastAsia" w:hAnsiTheme="minorEastAsia"/>
          <w:color w:val="000000"/>
          <w:sz w:val="24"/>
        </w:rPr>
        <w:t>与相关理论等分析和解决现实问题。</w:t>
      </w:r>
    </w:p>
    <w:p>
      <w:pPr>
        <w:pStyle w:val="2"/>
        <w:spacing w:before="240" w:after="240" w:line="440" w:lineRule="exact"/>
        <w:ind w:firstLine="630" w:firstLineChars="196"/>
        <w:rPr>
          <w:rFonts w:ascii="宋体" w:hAnsi="宋体"/>
          <w:color w:val="000000"/>
          <w:sz w:val="32"/>
        </w:rPr>
      </w:pPr>
      <w:r>
        <w:rPr>
          <w:rFonts w:ascii="宋体" w:hAnsi="宋体"/>
          <w:color w:val="000000"/>
          <w:sz w:val="32"/>
        </w:rPr>
        <w:t>二、考试形式和试卷结构</w:t>
      </w:r>
      <w:bookmarkEnd w:id="3"/>
      <w:bookmarkEnd w:id="4"/>
    </w:p>
    <w:p>
      <w:pPr>
        <w:widowControl/>
        <w:spacing w:line="360" w:lineRule="auto"/>
        <w:ind w:firstLine="420"/>
        <w:jc w:val="left"/>
        <w:outlineLvl w:val="1"/>
        <w:rPr>
          <w:rFonts w:asciiTheme="minorEastAsia" w:hAnsiTheme="minorEastAsia"/>
          <w:b/>
          <w:kern w:val="0"/>
          <w:sz w:val="24"/>
        </w:rPr>
      </w:pPr>
      <w:bookmarkStart w:id="5" w:name="_Toc297841285"/>
      <w:bookmarkStart w:id="6" w:name="_Toc390505016"/>
      <w:r>
        <w:rPr>
          <w:rFonts w:hint="eastAsia" w:asciiTheme="minorEastAsia" w:hAnsiTheme="minorEastAsia"/>
          <w:b/>
          <w:kern w:val="0"/>
          <w:sz w:val="24"/>
        </w:rPr>
        <w:t>（一）试卷满分及考试时间</w:t>
      </w:r>
      <w:bookmarkEnd w:id="5"/>
      <w:bookmarkEnd w:id="6"/>
    </w:p>
    <w:p>
      <w:pPr>
        <w:widowControl/>
        <w:spacing w:line="360" w:lineRule="auto"/>
        <w:ind w:firstLine="420"/>
        <w:jc w:val="left"/>
        <w:rPr>
          <w:rFonts w:asciiTheme="minorEastAsia" w:hAnsiTheme="minorEastAsia"/>
          <w:kern w:val="0"/>
          <w:sz w:val="24"/>
        </w:rPr>
      </w:pPr>
      <w:r>
        <w:rPr>
          <w:rFonts w:hint="eastAsia" w:asciiTheme="minorEastAsia" w:hAnsiTheme="minorEastAsia"/>
          <w:kern w:val="0"/>
          <w:sz w:val="24"/>
        </w:rPr>
        <w:t>总分：</w:t>
      </w:r>
      <w:r>
        <w:rPr>
          <w:rFonts w:asciiTheme="minorEastAsia" w:hAnsiTheme="minorEastAsia"/>
          <w:kern w:val="0"/>
          <w:sz w:val="24"/>
        </w:rPr>
        <w:t>100</w:t>
      </w:r>
      <w:r>
        <w:rPr>
          <w:rFonts w:hint="eastAsia" w:asciiTheme="minorEastAsia" w:hAnsiTheme="minorEastAsia"/>
          <w:kern w:val="0"/>
          <w:sz w:val="24"/>
        </w:rPr>
        <w:t>分，</w:t>
      </w:r>
      <w:r>
        <w:rPr>
          <w:rFonts w:asciiTheme="minorEastAsia" w:hAnsiTheme="minorEastAsia"/>
          <w:kern w:val="0"/>
          <w:sz w:val="24"/>
        </w:rPr>
        <w:t xml:space="preserve"> </w:t>
      </w:r>
      <w:r>
        <w:rPr>
          <w:rFonts w:hint="eastAsia" w:asciiTheme="minorEastAsia" w:hAnsiTheme="minorEastAsia"/>
          <w:kern w:val="0"/>
          <w:sz w:val="24"/>
        </w:rPr>
        <w:t>考试时间：</w:t>
      </w:r>
      <w:r>
        <w:rPr>
          <w:rFonts w:asciiTheme="minorEastAsia" w:hAnsiTheme="minorEastAsia"/>
          <w:kern w:val="0"/>
          <w:sz w:val="24"/>
        </w:rPr>
        <w:t>120</w:t>
      </w:r>
      <w:r>
        <w:rPr>
          <w:rFonts w:hint="eastAsia" w:asciiTheme="minorEastAsia" w:hAnsiTheme="minorEastAsia"/>
          <w:kern w:val="0"/>
          <w:sz w:val="24"/>
        </w:rPr>
        <w:t>分钟</w:t>
      </w:r>
    </w:p>
    <w:p>
      <w:pPr>
        <w:widowControl/>
        <w:spacing w:line="360" w:lineRule="auto"/>
        <w:ind w:firstLine="420"/>
        <w:jc w:val="left"/>
        <w:outlineLvl w:val="1"/>
        <w:rPr>
          <w:rFonts w:asciiTheme="minorEastAsia" w:hAnsiTheme="minorEastAsia"/>
          <w:b/>
          <w:kern w:val="0"/>
          <w:sz w:val="24"/>
        </w:rPr>
      </w:pPr>
      <w:bookmarkStart w:id="7" w:name="_Toc297841286"/>
      <w:bookmarkStart w:id="8" w:name="_Toc390505017"/>
      <w:r>
        <w:rPr>
          <w:rFonts w:hint="eastAsia" w:asciiTheme="minorEastAsia" w:hAnsiTheme="minorEastAsia"/>
          <w:b/>
          <w:kern w:val="0"/>
          <w:sz w:val="24"/>
        </w:rPr>
        <w:t>（二）考试方式</w:t>
      </w:r>
      <w:bookmarkEnd w:id="7"/>
      <w:bookmarkEnd w:id="8"/>
    </w:p>
    <w:p>
      <w:pPr>
        <w:widowControl/>
        <w:spacing w:line="360" w:lineRule="auto"/>
        <w:ind w:firstLine="420"/>
        <w:jc w:val="left"/>
        <w:rPr>
          <w:rFonts w:asciiTheme="minorEastAsia" w:hAnsiTheme="minorEastAsia"/>
          <w:kern w:val="0"/>
          <w:sz w:val="24"/>
        </w:rPr>
      </w:pPr>
      <w:r>
        <w:rPr>
          <w:rFonts w:hint="eastAsia" w:asciiTheme="minorEastAsia" w:hAnsiTheme="minorEastAsia"/>
          <w:kern w:val="0"/>
          <w:sz w:val="24"/>
        </w:rPr>
        <w:t>闭卷、笔试</w:t>
      </w:r>
    </w:p>
    <w:p>
      <w:pPr>
        <w:widowControl/>
        <w:spacing w:line="360" w:lineRule="auto"/>
        <w:ind w:firstLine="420"/>
        <w:jc w:val="left"/>
        <w:outlineLvl w:val="1"/>
        <w:rPr>
          <w:rFonts w:asciiTheme="minorEastAsia" w:hAnsiTheme="minorEastAsia"/>
          <w:b/>
          <w:kern w:val="0"/>
          <w:sz w:val="24"/>
        </w:rPr>
      </w:pPr>
      <w:bookmarkStart w:id="9" w:name="_Toc390505019"/>
      <w:bookmarkStart w:id="10" w:name="_Toc297841288"/>
      <w:r>
        <w:rPr>
          <w:rFonts w:hint="eastAsia" w:asciiTheme="minorEastAsia" w:hAnsiTheme="minorEastAsia"/>
          <w:b/>
          <w:kern w:val="0"/>
          <w:sz w:val="24"/>
        </w:rPr>
        <w:t>（三）题型结构</w:t>
      </w:r>
      <w:bookmarkEnd w:id="9"/>
      <w:bookmarkEnd w:id="10"/>
    </w:p>
    <w:p>
      <w:pPr>
        <w:widowControl/>
        <w:spacing w:line="360" w:lineRule="auto"/>
        <w:ind w:firstLine="470" w:firstLineChars="196"/>
        <w:jc w:val="left"/>
        <w:rPr>
          <w:rFonts w:asciiTheme="minorEastAsia" w:hAnsiTheme="minorEastAsia"/>
          <w:sz w:val="24"/>
        </w:rPr>
      </w:pPr>
      <w:r>
        <w:rPr>
          <w:rFonts w:asciiTheme="minorEastAsia" w:hAnsiTheme="minorEastAsia"/>
          <w:sz w:val="24"/>
        </w:rPr>
        <w:t xml:space="preserve">1. </w:t>
      </w:r>
      <w:r>
        <w:rPr>
          <w:rFonts w:hint="eastAsia" w:asciiTheme="minorEastAsia" w:hAnsiTheme="minorEastAsia"/>
          <w:sz w:val="24"/>
        </w:rPr>
        <w:t>名词解释（本题共有</w:t>
      </w:r>
      <w:r>
        <w:rPr>
          <w:rFonts w:asciiTheme="minorEastAsia" w:hAnsiTheme="minorEastAsia"/>
          <w:sz w:val="24"/>
        </w:rPr>
        <w:t>5</w:t>
      </w:r>
      <w:r>
        <w:rPr>
          <w:rFonts w:hint="eastAsia" w:asciiTheme="minorEastAsia" w:hAnsiTheme="minorEastAsia"/>
          <w:sz w:val="24"/>
        </w:rPr>
        <w:t>小题，每题</w:t>
      </w:r>
      <w:r>
        <w:rPr>
          <w:rFonts w:asciiTheme="minorEastAsia" w:hAnsiTheme="minorEastAsia"/>
          <w:sz w:val="24"/>
        </w:rPr>
        <w:t>4</w:t>
      </w:r>
      <w:r>
        <w:rPr>
          <w:rFonts w:hint="eastAsia" w:asciiTheme="minorEastAsia" w:hAnsiTheme="minorEastAsia"/>
          <w:sz w:val="24"/>
        </w:rPr>
        <w:t>分，共</w:t>
      </w:r>
      <w:r>
        <w:rPr>
          <w:rFonts w:asciiTheme="minorEastAsia" w:hAnsiTheme="minorEastAsia"/>
          <w:sz w:val="24"/>
        </w:rPr>
        <w:t>20</w:t>
      </w:r>
      <w:r>
        <w:rPr>
          <w:rFonts w:hint="eastAsia" w:asciiTheme="minorEastAsia" w:hAnsiTheme="minorEastAsia"/>
          <w:sz w:val="24"/>
        </w:rPr>
        <w:t>分）</w:t>
      </w:r>
    </w:p>
    <w:p>
      <w:pPr>
        <w:widowControl/>
        <w:spacing w:line="360" w:lineRule="auto"/>
        <w:ind w:firstLine="470" w:firstLineChars="196"/>
        <w:jc w:val="left"/>
        <w:rPr>
          <w:rFonts w:asciiTheme="minorEastAsia" w:hAnsiTheme="minorEastAsia"/>
          <w:sz w:val="24"/>
        </w:rPr>
      </w:pPr>
      <w:r>
        <w:rPr>
          <w:rFonts w:asciiTheme="minorEastAsia" w:hAnsiTheme="minorEastAsia"/>
          <w:sz w:val="24"/>
        </w:rPr>
        <w:t xml:space="preserve">3. </w:t>
      </w:r>
      <w:r>
        <w:rPr>
          <w:rFonts w:hint="eastAsia" w:asciiTheme="minorEastAsia" w:hAnsiTheme="minorEastAsia"/>
          <w:sz w:val="24"/>
        </w:rPr>
        <w:t>简述题（本题共有</w:t>
      </w:r>
      <w:r>
        <w:rPr>
          <w:rFonts w:asciiTheme="minorEastAsia" w:hAnsiTheme="minorEastAsia"/>
          <w:sz w:val="24"/>
        </w:rPr>
        <w:t>4</w:t>
      </w:r>
      <w:r>
        <w:rPr>
          <w:rFonts w:hint="eastAsia" w:asciiTheme="minorEastAsia" w:hAnsiTheme="minorEastAsia"/>
          <w:sz w:val="24"/>
        </w:rPr>
        <w:t>小题，每小题</w:t>
      </w:r>
      <w:r>
        <w:rPr>
          <w:rFonts w:asciiTheme="minorEastAsia" w:hAnsiTheme="minorEastAsia"/>
          <w:sz w:val="24"/>
        </w:rPr>
        <w:t>8</w:t>
      </w:r>
      <w:r>
        <w:rPr>
          <w:rFonts w:hint="eastAsia" w:asciiTheme="minorEastAsia" w:hAnsiTheme="minorEastAsia"/>
          <w:sz w:val="24"/>
        </w:rPr>
        <w:t>分，共</w:t>
      </w:r>
      <w:r>
        <w:rPr>
          <w:rFonts w:asciiTheme="minorEastAsia" w:hAnsiTheme="minorEastAsia"/>
          <w:sz w:val="24"/>
        </w:rPr>
        <w:t>32</w:t>
      </w:r>
      <w:r>
        <w:rPr>
          <w:rFonts w:hint="eastAsia" w:asciiTheme="minorEastAsia" w:hAnsiTheme="minorEastAsia"/>
          <w:sz w:val="24"/>
        </w:rPr>
        <w:t>分）。</w:t>
      </w:r>
    </w:p>
    <w:p>
      <w:pPr>
        <w:widowControl/>
        <w:spacing w:line="360" w:lineRule="auto"/>
        <w:ind w:firstLine="470" w:firstLineChars="196"/>
        <w:jc w:val="left"/>
        <w:rPr>
          <w:rFonts w:asciiTheme="minorEastAsia" w:hAnsiTheme="minorEastAsia"/>
          <w:sz w:val="24"/>
        </w:rPr>
      </w:pPr>
      <w:r>
        <w:rPr>
          <w:rFonts w:asciiTheme="minorEastAsia" w:hAnsiTheme="minorEastAsia"/>
          <w:sz w:val="24"/>
        </w:rPr>
        <w:t>4</w:t>
      </w:r>
      <w:r>
        <w:rPr>
          <w:rFonts w:hint="eastAsia" w:asciiTheme="minorEastAsia" w:hAnsiTheme="minorEastAsia"/>
          <w:sz w:val="24"/>
        </w:rPr>
        <w:t>．论述题（本题共有</w:t>
      </w:r>
      <w:r>
        <w:rPr>
          <w:rFonts w:asciiTheme="minorEastAsia" w:hAnsiTheme="minorEastAsia"/>
          <w:sz w:val="24"/>
        </w:rPr>
        <w:t>2</w:t>
      </w:r>
      <w:r>
        <w:rPr>
          <w:rFonts w:hint="eastAsia" w:asciiTheme="minorEastAsia" w:hAnsiTheme="minorEastAsia"/>
          <w:sz w:val="24"/>
        </w:rPr>
        <w:t>小题，每小题</w:t>
      </w:r>
      <w:r>
        <w:rPr>
          <w:rFonts w:asciiTheme="minorEastAsia" w:hAnsiTheme="minorEastAsia"/>
          <w:sz w:val="24"/>
        </w:rPr>
        <w:t>16</w:t>
      </w:r>
      <w:r>
        <w:rPr>
          <w:rFonts w:hint="eastAsia" w:asciiTheme="minorEastAsia" w:hAnsiTheme="minorEastAsia"/>
          <w:sz w:val="24"/>
        </w:rPr>
        <w:t>分，共</w:t>
      </w:r>
      <w:r>
        <w:rPr>
          <w:rFonts w:asciiTheme="minorEastAsia" w:hAnsiTheme="minorEastAsia"/>
          <w:sz w:val="24"/>
        </w:rPr>
        <w:t>32</w:t>
      </w:r>
      <w:r>
        <w:rPr>
          <w:rFonts w:hint="eastAsia" w:asciiTheme="minorEastAsia" w:hAnsiTheme="minorEastAsia"/>
          <w:sz w:val="24"/>
        </w:rPr>
        <w:t>分）。</w:t>
      </w:r>
    </w:p>
    <w:p>
      <w:pPr>
        <w:widowControl/>
        <w:spacing w:line="360" w:lineRule="auto"/>
        <w:ind w:firstLine="470" w:firstLineChars="196"/>
        <w:jc w:val="left"/>
        <w:rPr>
          <w:rFonts w:asciiTheme="minorEastAsia" w:hAnsiTheme="minorEastAsia"/>
          <w:color w:val="FF0000"/>
          <w:sz w:val="24"/>
        </w:rPr>
      </w:pPr>
      <w:r>
        <w:rPr>
          <w:rFonts w:asciiTheme="minorEastAsia" w:hAnsiTheme="minorEastAsia"/>
          <w:sz w:val="24"/>
        </w:rPr>
        <w:t>5</w:t>
      </w:r>
      <w:r>
        <w:rPr>
          <w:rFonts w:hint="eastAsia" w:asciiTheme="minorEastAsia" w:hAnsiTheme="minorEastAsia"/>
          <w:sz w:val="24"/>
        </w:rPr>
        <w:t>．案例（材料）分析题（本题共有</w:t>
      </w:r>
      <w:r>
        <w:rPr>
          <w:rFonts w:asciiTheme="minorEastAsia" w:hAnsiTheme="minorEastAsia"/>
          <w:sz w:val="24"/>
        </w:rPr>
        <w:t>1</w:t>
      </w:r>
      <w:r>
        <w:rPr>
          <w:rFonts w:hint="eastAsia" w:asciiTheme="minorEastAsia" w:hAnsiTheme="minorEastAsia"/>
          <w:sz w:val="24"/>
        </w:rPr>
        <w:t>小题，每小题</w:t>
      </w:r>
      <w:r>
        <w:rPr>
          <w:rFonts w:asciiTheme="minorEastAsia" w:hAnsiTheme="minorEastAsia"/>
          <w:sz w:val="24"/>
        </w:rPr>
        <w:t>16</w:t>
      </w:r>
      <w:r>
        <w:rPr>
          <w:rFonts w:hint="eastAsia" w:asciiTheme="minorEastAsia" w:hAnsiTheme="minorEastAsia"/>
          <w:sz w:val="24"/>
        </w:rPr>
        <w:t>分，共</w:t>
      </w:r>
      <w:r>
        <w:rPr>
          <w:rFonts w:asciiTheme="minorEastAsia" w:hAnsiTheme="minorEastAsia"/>
          <w:sz w:val="24"/>
        </w:rPr>
        <w:t>16</w:t>
      </w:r>
      <w:r>
        <w:rPr>
          <w:rFonts w:hint="eastAsia" w:asciiTheme="minorEastAsia" w:hAnsiTheme="minorEastAsia"/>
          <w:sz w:val="24"/>
        </w:rPr>
        <w:t>分）。</w:t>
      </w:r>
    </w:p>
    <w:p>
      <w:pPr>
        <w:pStyle w:val="2"/>
        <w:spacing w:before="240" w:after="240" w:line="440" w:lineRule="exact"/>
        <w:ind w:firstLine="630" w:firstLineChars="196"/>
        <w:rPr>
          <w:rFonts w:ascii="宋体" w:hAnsi="宋体"/>
          <w:color w:val="000000"/>
          <w:sz w:val="32"/>
        </w:rPr>
      </w:pPr>
      <w:r>
        <w:rPr>
          <w:rFonts w:hint="eastAsia" w:ascii="宋体" w:hAnsi="宋体"/>
          <w:color w:val="000000"/>
          <w:sz w:val="32"/>
        </w:rPr>
        <w:t>三、考查范围</w:t>
      </w:r>
    </w:p>
    <w:p>
      <w:pPr>
        <w:spacing w:line="420" w:lineRule="exact"/>
        <w:ind w:firstLine="482" w:firstLineChars="200"/>
        <w:rPr>
          <w:rFonts w:cs="Times New Roman" w:asciiTheme="minorEastAsia" w:hAnsiTheme="minorEastAsia"/>
          <w:sz w:val="24"/>
        </w:rPr>
      </w:pPr>
      <w:bookmarkStart w:id="11" w:name="_Hlk96935448"/>
      <w:r>
        <w:rPr>
          <w:rFonts w:cs="Times New Roman" w:asciiTheme="minorEastAsia" w:hAnsiTheme="minorEastAsia"/>
          <w:b/>
          <w:sz w:val="24"/>
        </w:rPr>
        <w:t>（一）考试教材</w:t>
      </w:r>
      <w:r>
        <w:rPr>
          <w:rFonts w:cs="Times New Roman" w:asciiTheme="minorEastAsia" w:hAnsiTheme="minorEastAsia"/>
          <w:sz w:val="24"/>
        </w:rPr>
        <w:t>：</w:t>
      </w:r>
      <w:bookmarkEnd w:id="11"/>
      <w:r>
        <w:rPr>
          <w:rFonts w:cs="Times New Roman" w:asciiTheme="minorEastAsia" w:hAnsiTheme="minorEastAsia"/>
          <w:sz w:val="24"/>
        </w:rPr>
        <w:t>陈庆云</w:t>
      </w:r>
      <w:r>
        <w:rPr>
          <w:rFonts w:hint="eastAsia" w:cs="Times New Roman" w:asciiTheme="minorEastAsia" w:hAnsiTheme="minorEastAsia"/>
          <w:sz w:val="24"/>
        </w:rPr>
        <w:t>主编，</w:t>
      </w:r>
      <w:r>
        <w:rPr>
          <w:rFonts w:cs="Times New Roman" w:asciiTheme="minorEastAsia" w:hAnsiTheme="minorEastAsia"/>
          <w:sz w:val="24"/>
        </w:rPr>
        <w:t>《公共政策分析》</w:t>
      </w:r>
      <w:r>
        <w:rPr>
          <w:rFonts w:hint="eastAsia" w:cs="Times New Roman" w:asciiTheme="minorEastAsia" w:hAnsiTheme="minorEastAsia"/>
          <w:sz w:val="24"/>
        </w:rPr>
        <w:t>（第2版）</w:t>
      </w:r>
      <w:r>
        <w:rPr>
          <w:rFonts w:cs="Times New Roman" w:asciiTheme="minorEastAsia" w:hAnsiTheme="minorEastAsia"/>
          <w:sz w:val="24"/>
        </w:rPr>
        <w:t>，北京大学出版社</w:t>
      </w:r>
      <w:r>
        <w:rPr>
          <w:rFonts w:hint="eastAsia" w:cs="Times New Roman" w:asciiTheme="minorEastAsia" w:hAnsiTheme="minorEastAsia"/>
          <w:sz w:val="24"/>
        </w:rPr>
        <w:t>，</w:t>
      </w:r>
      <w:r>
        <w:rPr>
          <w:rFonts w:cs="Times New Roman" w:asciiTheme="minorEastAsia" w:hAnsiTheme="minorEastAsia"/>
          <w:sz w:val="24"/>
        </w:rPr>
        <w:t>2015年版。</w:t>
      </w:r>
    </w:p>
    <w:p>
      <w:pPr>
        <w:spacing w:line="420" w:lineRule="exact"/>
        <w:ind w:firstLine="482" w:firstLineChars="200"/>
        <w:rPr>
          <w:rFonts w:cs="Times New Roman" w:asciiTheme="minorEastAsia" w:hAnsiTheme="minorEastAsia"/>
          <w:b/>
          <w:sz w:val="24"/>
        </w:rPr>
      </w:pPr>
      <w:r>
        <w:rPr>
          <w:rFonts w:hint="eastAsia" w:cs="Times New Roman" w:asciiTheme="minorEastAsia" w:hAnsiTheme="minorEastAsia"/>
          <w:b/>
          <w:sz w:val="24"/>
        </w:rPr>
        <w:t>（二）考试重点内容：</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第一章 公共政策分析的基本理论与框架</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（一）公共政策的本质</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（二）公共政策的基本特征与主要功能</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（三）公共政策分析的要素与原则</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第二章 政府、市场与公共政策的关系分析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（一）社会问题的解决途径</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（二）市场、政府、志愿途径的各自优势与缺陷</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（三）政府在公共政策过程中的角色定位</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第三章 公共政策系统分析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（一）公共政策主体的含义及构成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（二）公共政策客体的含义及构成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（三）公共政策环境的含义及特点</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（四）公共政策工具的含义及类型</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第四章 公共政策问题的构建分析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（一）公共政策问题的内涵、特征与类型</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（二）公共政策问题构建的一般程序</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（三）社会问题进入政策议程的影响因素与触发机制</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第五章 公共政策方案的制定分析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（一）公共决策体制的含义与构成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（二）政策方案规划的特性与原则</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（三）政策方案规划的基本程序</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（四）公共政策合法化的概念与程序</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第六章 公共政策内容的执行分析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（一）公共政策执行研究的自上而下、自下而上以及综合型途径</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（二）公共政策执行的过程、系统、互适与循环模型</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（三）公共政策执行的一般过程与主要手段</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第七章 公共政策效果的评价分析</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（一）公共政策评价内涵、类型以及基本方法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（二）公共政策评价的影响因素与操作程序</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（三）公共政策终止的含义与方式</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第八章 公共政策分析方法论</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（一）事实、价值、规范与可行性分析方法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（二）利益分析的内容及其实现途径</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（三）系统分析的内容与过程</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第九章 公共政策过程中的分析方法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（一）公共政策问题建构的观察法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（二）政策备择方案优化的效用分析与决策树法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（三）因果预测方法</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（四）公共政策的成本效益分析</w:t>
      </w:r>
    </w:p>
    <w:p>
      <w:pPr>
        <w:pStyle w:val="3"/>
        <w:spacing w:before="120" w:after="120" w:line="400" w:lineRule="exact"/>
        <w:ind w:firstLine="551" w:firstLineChars="196"/>
        <w:rPr>
          <w:rFonts w:ascii="宋体" w:hAnsi="宋体" w:eastAsia="宋体"/>
          <w:color w:val="000000"/>
          <w:sz w:val="28"/>
        </w:rPr>
      </w:pPr>
      <w:r>
        <w:rPr>
          <w:rFonts w:hint="eastAsia" w:ascii="宋体" w:hAnsi="宋体" w:eastAsia="宋体"/>
          <w:color w:val="000000"/>
          <w:sz w:val="28"/>
        </w:rPr>
        <w:t>第十章 公共政策分析模型与框架</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（一）公共政策的制度分析与集团分析模型</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（二）公共政策的有限理性决策与渐进决策模型</w:t>
      </w:r>
    </w:p>
    <w:p>
      <w:pPr>
        <w:spacing w:line="420" w:lineRule="exact"/>
        <w:ind w:firstLine="480"/>
        <w:rPr>
          <w:rFonts w:ascii="Times New Roman" w:hAnsi="Times New Roman" w:eastAsia="宋体" w:cs="Times New Roman"/>
          <w:sz w:val="24"/>
        </w:rPr>
      </w:pPr>
      <w:r>
        <w:rPr>
          <w:rFonts w:hint="eastAsia" w:ascii="Times New Roman" w:hAnsi="Times New Roman" w:eastAsia="宋体" w:cs="Times New Roman"/>
          <w:sz w:val="24"/>
        </w:rPr>
        <w:t>（三）公共政策的支持联盟分析框架</w:t>
      </w:r>
    </w:p>
    <w:p>
      <w:pPr>
        <w:spacing w:line="420" w:lineRule="exact"/>
        <w:ind w:firstLine="480"/>
        <w:rPr>
          <w:rFonts w:ascii="Times New Roman" w:hAnsi="Times New Roman" w:eastAsia="宋体"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430651"/>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E6"/>
    <w:rsid w:val="002C5D2D"/>
    <w:rsid w:val="003158E6"/>
    <w:rsid w:val="003969E1"/>
    <w:rsid w:val="003D1A68"/>
    <w:rsid w:val="004027B4"/>
    <w:rsid w:val="00412125"/>
    <w:rsid w:val="0071786B"/>
    <w:rsid w:val="008501BC"/>
    <w:rsid w:val="008A7DEC"/>
    <w:rsid w:val="00913BFA"/>
    <w:rsid w:val="00960E35"/>
    <w:rsid w:val="00A0230E"/>
    <w:rsid w:val="00A05831"/>
    <w:rsid w:val="00C42561"/>
    <w:rsid w:val="00D35055"/>
    <w:rsid w:val="00D51D25"/>
    <w:rsid w:val="00D610A5"/>
    <w:rsid w:val="00E07D1F"/>
    <w:rsid w:val="00F218AE"/>
    <w:rsid w:val="00F500AD"/>
    <w:rsid w:val="00FC4664"/>
    <w:rsid w:val="76E3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customStyle="1" w:styleId="11">
    <w:name w:val="标题 1 Char"/>
    <w:basedOn w:val="9"/>
    <w:link w:val="2"/>
    <w:uiPriority w:val="0"/>
    <w:rPr>
      <w:rFonts w:ascii="Times New Roman" w:hAnsi="Times New Roman" w:eastAsia="宋体" w:cs="Times New Roman"/>
      <w:b/>
      <w:bCs/>
      <w:kern w:val="44"/>
      <w:sz w:val="44"/>
      <w:szCs w:val="44"/>
    </w:rPr>
  </w:style>
  <w:style w:type="paragraph" w:customStyle="1" w:styleId="1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3">
    <w:name w:val="标题 2 Char"/>
    <w:basedOn w:val="9"/>
    <w:link w:val="3"/>
    <w:uiPriority w:val="0"/>
    <w:rPr>
      <w:rFonts w:ascii="Arial" w:hAnsi="Arial" w:eastAsia="黑体" w:cs="Times New Roman"/>
      <w:b/>
      <w:bCs/>
      <w:sz w:val="32"/>
      <w:szCs w:val="32"/>
    </w:rPr>
  </w:style>
  <w:style w:type="character" w:customStyle="1" w:styleId="14">
    <w:name w:val="页眉 Char"/>
    <w:basedOn w:val="9"/>
    <w:link w:val="5"/>
    <w:uiPriority w:val="99"/>
    <w:rPr>
      <w:sz w:val="18"/>
      <w:szCs w:val="18"/>
    </w:rPr>
  </w:style>
  <w:style w:type="character" w:customStyle="1" w:styleId="15">
    <w:name w:val="页脚 Char"/>
    <w:basedOn w:val="9"/>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BDECA-9DC0-40F8-95C6-0B555A93EE68}">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1169</Characters>
  <Lines>9</Lines>
  <Paragraphs>2</Paragraphs>
  <TotalTime>0</TotalTime>
  <ScaleCrop>false</ScaleCrop>
  <LinksUpToDate>false</LinksUpToDate>
  <CharactersWithSpaces>1371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2022-03-02T02:27:00Z</dcterms:created>
  <dc:creator>A</dc:creator>
  <cp:lastModifiedBy>柳劲</cp:lastModifiedBy>
  <dcterms:modified xsi:type="dcterms:W3CDTF">2022-03-03T10:24:26Z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F58EC37435CB48F4885C052E35FC6551</vt:lpwstr>
  </property>
</Properties>
</file>